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BCFC5D7" w14:textId="77777777" w:rsidR="00657D15" w:rsidRDefault="00287AB4" w:rsidP="00287AB4">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Changement des accessoires de couverture</w:t>
      </w:r>
      <w:r w:rsidRPr="009247B4">
        <w:rPr>
          <w:rFonts w:eastAsia="Times New Roman" w:cstheme="minorHAnsi"/>
          <w:b/>
          <w:color w:val="5B9BD5" w:themeColor="accent1"/>
          <w:sz w:val="44"/>
          <w:szCs w:val="44"/>
          <w:lang w:eastAsia="fr-FR"/>
        </w:rPr>
        <w:t xml:space="preserve"> </w:t>
      </w:r>
      <w:r w:rsidR="00657D15">
        <w:rPr>
          <w:rFonts w:eastAsia="Times New Roman" w:cstheme="minorHAnsi"/>
          <w:b/>
          <w:color w:val="5B9BD5" w:themeColor="accent1"/>
          <w:sz w:val="44"/>
          <w:szCs w:val="44"/>
          <w:lang w:eastAsia="fr-FR"/>
        </w:rPr>
        <w:t xml:space="preserve">sur deux bâtiments </w:t>
      </w:r>
      <w:r w:rsidR="00F901EF">
        <w:rPr>
          <w:rFonts w:eastAsia="Times New Roman" w:cstheme="minorHAnsi"/>
          <w:b/>
          <w:color w:val="5B9BD5" w:themeColor="accent1"/>
          <w:sz w:val="44"/>
          <w:szCs w:val="44"/>
          <w:lang w:eastAsia="fr-FR"/>
        </w:rPr>
        <w:t>de la r</w:t>
      </w:r>
      <w:r w:rsidR="00657D15">
        <w:rPr>
          <w:rFonts w:eastAsia="Times New Roman" w:cstheme="minorHAnsi"/>
          <w:b/>
          <w:color w:val="5B9BD5" w:themeColor="accent1"/>
          <w:sz w:val="44"/>
          <w:szCs w:val="44"/>
          <w:lang w:eastAsia="fr-FR"/>
        </w:rPr>
        <w:t>ésidence Port Magenta</w:t>
      </w:r>
    </w:p>
    <w:p w14:paraId="61CCC214" w14:textId="41C9F52E" w:rsidR="00287AB4" w:rsidRPr="009247B4" w:rsidRDefault="00287AB4" w:rsidP="00287AB4">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Commune de Nouméa</w:t>
      </w:r>
    </w:p>
    <w:p w14:paraId="073E561B" w14:textId="77777777" w:rsidR="00287AB4" w:rsidRPr="009247B4" w:rsidRDefault="00287AB4" w:rsidP="00287AB4">
      <w:pPr>
        <w:tabs>
          <w:tab w:val="left" w:pos="9000"/>
        </w:tabs>
        <w:spacing w:after="0" w:line="240" w:lineRule="auto"/>
        <w:jc w:val="center"/>
        <w:rPr>
          <w:rFonts w:eastAsia="Times New Roman" w:cstheme="minorHAnsi"/>
          <w:b/>
          <w:color w:val="00B0F0"/>
          <w:sz w:val="36"/>
          <w:szCs w:val="36"/>
          <w:lang w:eastAsia="fr-FR"/>
        </w:rPr>
      </w:pPr>
    </w:p>
    <w:p w14:paraId="7D79FF4E" w14:textId="77777777" w:rsidR="00287AB4" w:rsidRPr="009247B4" w:rsidRDefault="00287AB4" w:rsidP="00287AB4">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r w:rsidRPr="009247B4">
        <w:rPr>
          <w:rFonts w:eastAsia="Times New Roman" w:cstheme="minorHAnsi"/>
          <w:b/>
          <w:i/>
          <w:color w:val="C45911" w:themeColor="accent2" w:themeShade="BF"/>
          <w:sz w:val="32"/>
          <w:szCs w:val="32"/>
          <w:lang w:eastAsia="fr-FR"/>
        </w:rPr>
        <w:t>Pièce n° 1 – Acte d’Engagement</w:t>
      </w:r>
      <w:r>
        <w:rPr>
          <w:rFonts w:eastAsia="Times New Roman" w:cstheme="minorHAnsi"/>
          <w:b/>
          <w:i/>
          <w:color w:val="C45911" w:themeColor="accent2" w:themeShade="BF"/>
          <w:sz w:val="32"/>
          <w:szCs w:val="32"/>
          <w:lang w:eastAsia="fr-FR"/>
        </w:rPr>
        <w:t xml:space="preserve"> </w:t>
      </w:r>
    </w:p>
    <w:p w14:paraId="4C4447B3" w14:textId="7D5F5BF9" w:rsidR="00287AB4" w:rsidRPr="009247B4" w:rsidRDefault="00287AB4" w:rsidP="00287AB4">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Pr>
          <w:rFonts w:eastAsia="Times New Roman" w:cstheme="minorHAnsi"/>
          <w:b/>
          <w:color w:val="5B9BD5" w:themeColor="accent1"/>
          <w:sz w:val="32"/>
          <w:szCs w:val="32"/>
          <w:lang w:eastAsia="fr-FR"/>
        </w:rPr>
        <w:t>206</w:t>
      </w:r>
      <w:r w:rsidR="000468C6">
        <w:rPr>
          <w:rFonts w:eastAsia="Times New Roman" w:cstheme="minorHAnsi"/>
          <w:b/>
          <w:color w:val="5B9BD5" w:themeColor="accent1"/>
          <w:sz w:val="32"/>
          <w:szCs w:val="32"/>
          <w:lang w:eastAsia="fr-FR"/>
        </w:rPr>
        <w:t>4</w:t>
      </w:r>
      <w:r>
        <w:rPr>
          <w:rFonts w:eastAsia="Times New Roman" w:cstheme="minorHAnsi"/>
          <w:b/>
          <w:color w:val="5B9BD5" w:themeColor="accent1"/>
          <w:sz w:val="32"/>
          <w:szCs w:val="32"/>
          <w:lang w:eastAsia="fr-FR"/>
        </w:rPr>
        <w:t>8/202</w:t>
      </w:r>
      <w:r w:rsidR="000468C6">
        <w:rPr>
          <w:rFonts w:eastAsia="Times New Roman" w:cstheme="minorHAnsi"/>
          <w:b/>
          <w:color w:val="5B9BD5" w:themeColor="accent1"/>
          <w:sz w:val="32"/>
          <w:szCs w:val="32"/>
          <w:lang w:eastAsia="fr-FR"/>
        </w:rPr>
        <w:t>3</w:t>
      </w:r>
      <w:r>
        <w:rPr>
          <w:rFonts w:eastAsia="Times New Roman" w:cstheme="minorHAnsi"/>
          <w:b/>
          <w:color w:val="5B9BD5" w:themeColor="accent1"/>
          <w:sz w:val="32"/>
          <w:szCs w:val="32"/>
          <w:lang w:eastAsia="fr-FR"/>
        </w:rPr>
        <w:t>/Tranche</w:t>
      </w:r>
      <w:r w:rsidR="00DD75AB">
        <w:rPr>
          <w:rFonts w:eastAsia="Times New Roman" w:cstheme="minorHAnsi"/>
          <w:b/>
          <w:color w:val="5B9BD5" w:themeColor="accent1"/>
          <w:sz w:val="32"/>
          <w:szCs w:val="32"/>
          <w:lang w:eastAsia="fr-FR"/>
        </w:rPr>
        <w:t xml:space="preserve"> 1</w:t>
      </w:r>
      <w:r>
        <w:rPr>
          <w:rFonts w:eastAsia="Times New Roman" w:cstheme="minorHAnsi"/>
          <w:b/>
          <w:color w:val="5B9BD5" w:themeColor="accent1"/>
          <w:sz w:val="32"/>
          <w:szCs w:val="32"/>
          <w:lang w:eastAsia="fr-FR"/>
        </w:rPr>
        <w:t>/345-</w:t>
      </w:r>
      <w:r w:rsidR="002059BD">
        <w:rPr>
          <w:rFonts w:eastAsia="Times New Roman" w:cstheme="minorHAnsi"/>
          <w:b/>
          <w:color w:val="5B9BD5" w:themeColor="accent1"/>
          <w:sz w:val="32"/>
          <w:szCs w:val="32"/>
          <w:lang w:eastAsia="fr-FR"/>
        </w:rPr>
        <w:t>XX</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1F1F5A3E"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r w:rsidR="00A8605C">
        <w:rPr>
          <w:rFonts w:eastAsia="Times New Roman" w:cstheme="minorHAnsi"/>
          <w:b/>
          <w:color w:val="C45911" w:themeColor="accent2" w:themeShade="BF"/>
          <w:sz w:val="32"/>
          <w:szCs w:val="32"/>
          <w:lang w:eastAsia="fr-FR"/>
        </w:rPr>
        <w:t xml:space="preserve"> – PPI 2023</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7915B77E" w14:textId="028F0E38" w:rsidR="00A62172" w:rsidRDefault="00A62172" w:rsidP="00FE0245">
      <w:pPr>
        <w:tabs>
          <w:tab w:val="left" w:pos="1985"/>
        </w:tabs>
        <w:spacing w:after="0" w:line="240" w:lineRule="auto"/>
        <w:rPr>
          <w:rFonts w:eastAsia="Times New Roman" w:cstheme="minorHAnsi"/>
          <w:b/>
          <w:sz w:val="24"/>
          <w:szCs w:val="24"/>
          <w:lang w:eastAsia="fr-FR"/>
        </w:rPr>
      </w:pPr>
    </w:p>
    <w:p w14:paraId="452129EC" w14:textId="648C2A2F" w:rsidR="00855BE1" w:rsidRDefault="00855BE1" w:rsidP="00FE0245">
      <w:pPr>
        <w:tabs>
          <w:tab w:val="left" w:pos="1985"/>
        </w:tabs>
        <w:spacing w:after="0" w:line="240" w:lineRule="auto"/>
        <w:rPr>
          <w:rFonts w:eastAsia="Times New Roman" w:cstheme="minorHAnsi"/>
          <w:b/>
          <w:sz w:val="24"/>
          <w:szCs w:val="24"/>
          <w:lang w:eastAsia="fr-FR"/>
        </w:rPr>
      </w:pPr>
    </w:p>
    <w:p w14:paraId="703B3EAA" w14:textId="77777777" w:rsidR="00855BE1" w:rsidRPr="009247B4" w:rsidRDefault="00855BE1" w:rsidP="00FE0245">
      <w:pPr>
        <w:tabs>
          <w:tab w:val="left" w:pos="1985"/>
        </w:tabs>
        <w:spacing w:after="0" w:line="240" w:lineRule="auto"/>
        <w:rPr>
          <w:rFonts w:eastAsia="Times New Roman" w:cstheme="minorHAnsi"/>
          <w:b/>
          <w:sz w:val="24"/>
          <w:szCs w:val="24"/>
          <w:lang w:eastAsia="fr-FR"/>
        </w:rPr>
      </w:pPr>
    </w:p>
    <w:p w14:paraId="512D6597" w14:textId="77777777" w:rsidR="00A62172" w:rsidRDefault="00A62172" w:rsidP="00FE0245">
      <w:pPr>
        <w:tabs>
          <w:tab w:val="left" w:pos="1985"/>
        </w:tabs>
        <w:spacing w:after="0" w:line="240" w:lineRule="auto"/>
        <w:rPr>
          <w:rFonts w:eastAsia="Times New Roman" w:cstheme="minorHAnsi"/>
          <w:b/>
          <w:sz w:val="24"/>
          <w:szCs w:val="24"/>
          <w:lang w:eastAsia="fr-FR"/>
        </w:rPr>
      </w:pPr>
    </w:p>
    <w:p w14:paraId="6CE447C0" w14:textId="77777777" w:rsidR="00687773" w:rsidRDefault="00687773" w:rsidP="00FE0245">
      <w:pPr>
        <w:tabs>
          <w:tab w:val="left" w:pos="1985"/>
        </w:tabs>
        <w:spacing w:after="0" w:line="240" w:lineRule="auto"/>
        <w:rPr>
          <w:rFonts w:eastAsia="Times New Roman" w:cstheme="minorHAnsi"/>
          <w:b/>
          <w:sz w:val="24"/>
          <w:szCs w:val="24"/>
          <w:lang w:eastAsia="fr-FR"/>
        </w:rPr>
      </w:pPr>
    </w:p>
    <w:p w14:paraId="0CA18950" w14:textId="77777777" w:rsidR="00687773" w:rsidRPr="009247B4" w:rsidRDefault="00687773" w:rsidP="00FE0245">
      <w:pPr>
        <w:tabs>
          <w:tab w:val="left" w:pos="1985"/>
        </w:tabs>
        <w:spacing w:after="0" w:line="240" w:lineRule="auto"/>
        <w:rPr>
          <w:rFonts w:eastAsia="Times New Roman" w:cstheme="minorHAnsi"/>
          <w:b/>
          <w:sz w:val="24"/>
          <w:szCs w:val="24"/>
          <w:lang w:eastAsia="fr-FR"/>
        </w:rPr>
      </w:pPr>
    </w:p>
    <w:p w14:paraId="5D01EBCE" w14:textId="77777777" w:rsidR="00465CFD" w:rsidRDefault="00465CFD" w:rsidP="00FE0245">
      <w:pPr>
        <w:spacing w:after="0" w:line="240" w:lineRule="auto"/>
        <w:jc w:val="both"/>
        <w:rPr>
          <w:rFonts w:eastAsia="Times New Roman" w:cstheme="minorHAnsi"/>
          <w:sz w:val="24"/>
          <w:szCs w:val="24"/>
          <w:lang w:eastAsia="fr-FR"/>
        </w:rPr>
      </w:pP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13C05D6F" w14:textId="51CE0E63"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1CD4330E" w14:textId="77777777" w:rsidR="000C6AA3" w:rsidRPr="000C6AA3" w:rsidRDefault="000C6AA3" w:rsidP="0073592F">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3B971A68"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études d’exécution complètes autres que celles fournies au présent dossier, réalisées par un bureau d’études compétent </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73592F">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75593F99" w:rsidR="000C6AA3" w:rsidRPr="000C6AA3" w:rsidRDefault="000C6AA3" w:rsidP="00FE0245">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 xml:space="preserve">La maîtrise d’œuvre est assurée par </w:t>
      </w:r>
      <w:r w:rsidR="00E4154F">
        <w:rPr>
          <w:rFonts w:eastAsia="Times New Roman" w:cstheme="minorHAnsi"/>
          <w:color w:val="5B9BD5" w:themeColor="accent1"/>
          <w:sz w:val="20"/>
          <w:szCs w:val="24"/>
          <w:lang w:eastAsia="fr-FR"/>
        </w:rPr>
        <w:t>la direction technique du FCH.</w:t>
      </w:r>
    </w:p>
    <w:p w14:paraId="64527B1D" w14:textId="7B504AF9" w:rsidR="00A62172" w:rsidRPr="009247B4" w:rsidRDefault="00A62172" w:rsidP="00FE0245">
      <w:pPr>
        <w:spacing w:after="0" w:line="240" w:lineRule="auto"/>
        <w:rPr>
          <w:rFonts w:eastAsia="Times New Roman" w:cstheme="minorHAnsi"/>
          <w:b/>
          <w:sz w:val="24"/>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73592F">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73592F">
      <w:pPr>
        <w:tabs>
          <w:tab w:val="left" w:pos="567"/>
        </w:tabs>
        <w:spacing w:before="120"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61C1792B" w14:textId="75D74EB9" w:rsidR="00D9292F" w:rsidRPr="00C128FB" w:rsidRDefault="00D9292F" w:rsidP="0073592F">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4FAD9EEC" w14:textId="69B25745" w:rsidR="00A62172" w:rsidRDefault="004414E4" w:rsidP="0073592F">
      <w:pPr>
        <w:overflowPunct w:val="0"/>
        <w:autoSpaceDE w:val="0"/>
        <w:autoSpaceDN w:val="0"/>
        <w:adjustRightInd w:val="0"/>
        <w:spacing w:before="120"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01DB0824" w:rsidR="00A62172" w:rsidRPr="00C34ED3" w:rsidRDefault="00A62172" w:rsidP="0073592F">
      <w:pPr>
        <w:spacing w:before="120"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3AB6E399" w14:textId="77777777" w:rsidR="00A62172" w:rsidRPr="009247B4" w:rsidRDefault="00A62172" w:rsidP="0073592F">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5464B16" w14:textId="53880895" w:rsidR="00A62172" w:rsidRDefault="00A62172" w:rsidP="0073592F">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7730F6C9" w14:textId="5A13ABA0" w:rsidR="00E02647" w:rsidRDefault="00E02647" w:rsidP="00FE0245">
      <w:pPr>
        <w:widowControl w:val="0"/>
        <w:spacing w:after="0" w:line="240" w:lineRule="auto"/>
        <w:jc w:val="both"/>
        <w:rPr>
          <w:rFonts w:eastAsia="Times New Roman" w:cstheme="minorHAnsi"/>
          <w:sz w:val="20"/>
          <w:szCs w:val="24"/>
          <w:lang w:eastAsia="fr-FR"/>
        </w:rPr>
      </w:pPr>
    </w:p>
    <w:p w14:paraId="3FAC0792" w14:textId="2F56ADF1" w:rsidR="0073592F" w:rsidRDefault="0073592F" w:rsidP="00FE0245">
      <w:pPr>
        <w:widowControl w:val="0"/>
        <w:spacing w:after="0" w:line="240" w:lineRule="auto"/>
        <w:jc w:val="both"/>
        <w:rPr>
          <w:rFonts w:eastAsia="Times New Roman" w:cstheme="minorHAnsi"/>
          <w:sz w:val="20"/>
          <w:szCs w:val="24"/>
          <w:lang w:eastAsia="fr-FR"/>
        </w:rPr>
      </w:pPr>
    </w:p>
    <w:p w14:paraId="2B5BCA9F" w14:textId="30E66679" w:rsidR="0073592F" w:rsidRDefault="0073592F"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73592F" w:rsidRDefault="00513C41" w:rsidP="0073592F">
      <w:pPr>
        <w:spacing w:after="0" w:line="240" w:lineRule="auto"/>
        <w:jc w:val="both"/>
        <w:outlineLvl w:val="0"/>
        <w:rPr>
          <w:rFonts w:ascii="Calibri" w:eastAsia="Times New Roman" w:hAnsi="Calibri" w:cs="Calibri"/>
          <w:sz w:val="20"/>
          <w:szCs w:val="24"/>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C88F95D"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r w:rsidR="00E4154F">
        <w:rPr>
          <w:rFonts w:ascii="Calibri" w:eastAsia="Times New Roman" w:hAnsi="Calibri" w:cs="Calibri"/>
          <w:sz w:val="20"/>
          <w:szCs w:val="24"/>
          <w:lang w:eastAsia="fr-FR"/>
        </w:rPr>
        <w:t>.</w:t>
      </w:r>
    </w:p>
    <w:p w14:paraId="0807AC3C" w14:textId="4425FB14" w:rsidR="00513C41" w:rsidRDefault="00C128FB" w:rsidP="0073592F">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73592F">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73592F">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7931C637" w14:textId="637646F4" w:rsidR="00513C41" w:rsidRPr="00513C41" w:rsidRDefault="00513C41" w:rsidP="0073592F">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73592F">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73592F" w:rsidRDefault="00513C41" w:rsidP="00513C41">
      <w:pPr>
        <w:spacing w:after="0" w:line="240" w:lineRule="auto"/>
        <w:jc w:val="both"/>
        <w:outlineLvl w:val="0"/>
        <w:rPr>
          <w:rFonts w:ascii="Calibri" w:eastAsia="Times New Roman" w:hAnsi="Calibri" w:cs="Calibri"/>
          <w:sz w:val="20"/>
          <w:szCs w:val="24"/>
          <w:lang w:eastAsia="fr-FR"/>
        </w:rPr>
      </w:pPr>
    </w:p>
    <w:p w14:paraId="04FEA10A" w14:textId="1E680199" w:rsidR="00B048BB" w:rsidRDefault="00513C41" w:rsidP="0073592F">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00E4154F">
        <w:rPr>
          <w:rFonts w:ascii="Calibri" w:eastAsia="Times New Roman" w:hAnsi="Calibri" w:cs="Calibri"/>
          <w:iCs/>
          <w:sz w:val="20"/>
          <w:szCs w:val="20"/>
          <w:lang w:eastAsia="fr-FR"/>
        </w:rPr>
        <w:t>à changer les accessoires de couvertures (gouttières, bandes de rives, …) des bâtiments de la résidence Port Magenta correspondant au lot 04 – Charpente/Couverture.</w:t>
      </w:r>
    </w:p>
    <w:p w14:paraId="68FE2BB7" w14:textId="70E65404" w:rsidR="00513C41" w:rsidRPr="0073592F" w:rsidRDefault="00B048BB" w:rsidP="0073592F">
      <w:pPr>
        <w:spacing w:before="120" w:after="0" w:line="240" w:lineRule="auto"/>
        <w:jc w:val="both"/>
        <w:rPr>
          <w:rFonts w:ascii="Calibri" w:eastAsia="Times New Roman" w:hAnsi="Calibri" w:cs="Calibri"/>
          <w:iCs/>
          <w:sz w:val="20"/>
          <w:szCs w:val="20"/>
          <w:lang w:eastAsia="fr-FR"/>
        </w:rPr>
      </w:pPr>
      <w:r w:rsidRPr="00B048BB">
        <w:rPr>
          <w:rFonts w:ascii="Calibri" w:eastAsia="Times New Roman" w:hAnsi="Calibri" w:cs="Calibri"/>
          <w:iCs/>
          <w:sz w:val="20"/>
          <w:szCs w:val="20"/>
          <w:lang w:eastAsia="fr-FR"/>
        </w:rPr>
        <w:t>L’</w:t>
      </w:r>
      <w:r w:rsidR="00513C41" w:rsidRPr="00513C41">
        <w:rPr>
          <w:rFonts w:ascii="Calibri" w:eastAsia="Times New Roman" w:hAnsi="Calibri" w:cs="Calibri"/>
          <w:iCs/>
          <w:sz w:val="20"/>
          <w:szCs w:val="20"/>
          <w:lang w:eastAsia="fr-FR"/>
        </w:rPr>
        <w:t xml:space="preserve">opération </w:t>
      </w:r>
      <w:r w:rsidRPr="00B048BB">
        <w:rPr>
          <w:rFonts w:ascii="Calibri" w:eastAsia="Times New Roman" w:hAnsi="Calibri" w:cs="Calibri"/>
          <w:iCs/>
          <w:sz w:val="20"/>
          <w:szCs w:val="20"/>
          <w:lang w:eastAsia="fr-FR"/>
        </w:rPr>
        <w:t>est dénommée</w:t>
      </w:r>
      <w:r w:rsidR="00B26946">
        <w:rPr>
          <w:rFonts w:ascii="Calibri" w:eastAsia="Times New Roman" w:hAnsi="Calibri" w:cs="Calibri"/>
          <w:iCs/>
          <w:sz w:val="20"/>
          <w:szCs w:val="20"/>
          <w:lang w:eastAsia="fr-FR"/>
        </w:rPr>
        <w:t> :</w:t>
      </w:r>
      <w:r w:rsidR="0073592F">
        <w:rPr>
          <w:rFonts w:ascii="Calibri" w:eastAsia="Times New Roman" w:hAnsi="Calibri" w:cs="Calibri"/>
          <w:iCs/>
          <w:sz w:val="20"/>
          <w:szCs w:val="20"/>
          <w:lang w:eastAsia="fr-FR"/>
        </w:rPr>
        <w:t xml:space="preserve"> </w:t>
      </w:r>
      <w:r w:rsidR="00E4154F">
        <w:rPr>
          <w:rFonts w:ascii="Calibri" w:eastAsia="Times New Roman" w:hAnsi="Calibri" w:cs="Calibri"/>
          <w:b/>
          <w:iCs/>
          <w:color w:val="5B9BD5" w:themeColor="accent1"/>
          <w:sz w:val="20"/>
          <w:szCs w:val="20"/>
          <w:lang w:eastAsia="fr-FR"/>
        </w:rPr>
        <w:t>Changement des accessoires de couverture de la résidence Port Magenta</w:t>
      </w:r>
      <w:r w:rsidR="00B26946">
        <w:rPr>
          <w:rFonts w:ascii="Calibri" w:eastAsia="Times New Roman" w:hAnsi="Calibri" w:cs="Calibri"/>
          <w:iCs/>
          <w:sz w:val="20"/>
          <w:szCs w:val="20"/>
          <w:lang w:eastAsia="fr-FR"/>
        </w:rPr>
        <w:t xml:space="preserve">, </w:t>
      </w:r>
      <w:r w:rsidR="00513C41" w:rsidRPr="00513C41">
        <w:rPr>
          <w:rFonts w:ascii="Calibri" w:eastAsia="Times New Roman" w:hAnsi="Calibri" w:cs="Calibri"/>
          <w:iCs/>
          <w:sz w:val="20"/>
          <w:szCs w:val="20"/>
          <w:lang w:eastAsia="fr-FR"/>
        </w:rPr>
        <w:t xml:space="preserve">située </w:t>
      </w:r>
      <w:r w:rsidR="00B26946">
        <w:rPr>
          <w:rFonts w:ascii="Calibri" w:eastAsia="Times New Roman" w:hAnsi="Calibri" w:cs="Calibri"/>
          <w:iCs/>
          <w:sz w:val="20"/>
          <w:szCs w:val="20"/>
          <w:lang w:eastAsia="fr-FR"/>
        </w:rPr>
        <w:t>au n°22,</w:t>
      </w:r>
      <w:r w:rsidR="00B26946" w:rsidRPr="00513C41">
        <w:rPr>
          <w:rFonts w:ascii="Calibri" w:eastAsia="Times New Roman" w:hAnsi="Calibri" w:cs="Calibri"/>
          <w:b/>
          <w:iCs/>
          <w:sz w:val="20"/>
          <w:szCs w:val="20"/>
          <w:lang w:eastAsia="fr-FR"/>
        </w:rPr>
        <w:t xml:space="preserve"> </w:t>
      </w:r>
      <w:r w:rsidR="00E4154F">
        <w:rPr>
          <w:rFonts w:ascii="Calibri" w:eastAsia="Times New Roman" w:hAnsi="Calibri" w:cs="Calibri"/>
          <w:b/>
          <w:iCs/>
          <w:color w:val="5B9BD5" w:themeColor="accent1"/>
          <w:sz w:val="20"/>
          <w:szCs w:val="20"/>
          <w:lang w:eastAsia="fr-FR"/>
        </w:rPr>
        <w:t>rue de Prony, Magenta, Nouméa.</w:t>
      </w:r>
    </w:p>
    <w:p w14:paraId="3684554D" w14:textId="3592DC59" w:rsidR="00E4154F" w:rsidRPr="002059BD" w:rsidRDefault="002059BD" w:rsidP="0073592F">
      <w:pPr>
        <w:spacing w:before="120" w:after="0" w:line="240" w:lineRule="auto"/>
        <w:jc w:val="both"/>
        <w:rPr>
          <w:rFonts w:ascii="Calibri" w:eastAsia="Times New Roman" w:hAnsi="Calibri" w:cs="Calibri"/>
          <w:b/>
          <w:color w:val="548DD4"/>
          <w:sz w:val="20"/>
          <w:szCs w:val="24"/>
          <w:lang w:eastAsia="fr-FR"/>
        </w:rPr>
      </w:pPr>
      <w:r w:rsidRPr="002059BD">
        <w:rPr>
          <w:rFonts w:ascii="Calibri" w:eastAsia="Times New Roman" w:hAnsi="Calibri" w:cs="Calibri"/>
          <w:b/>
          <w:color w:val="548DD4"/>
          <w:sz w:val="20"/>
          <w:szCs w:val="24"/>
          <w:lang w:eastAsia="fr-FR"/>
        </w:rPr>
        <w:t xml:space="preserve">Les travaux seront réalisés en </w:t>
      </w:r>
      <w:r>
        <w:rPr>
          <w:rFonts w:ascii="Calibri" w:eastAsia="Times New Roman" w:hAnsi="Calibri" w:cs="Calibri"/>
          <w:b/>
          <w:color w:val="548DD4"/>
          <w:sz w:val="20"/>
          <w:szCs w:val="24"/>
          <w:lang w:eastAsia="fr-FR"/>
        </w:rPr>
        <w:t xml:space="preserve">une (1) tranche ferme et </w:t>
      </w:r>
      <w:r w:rsidR="000B13B6">
        <w:rPr>
          <w:rFonts w:ascii="Calibri" w:eastAsia="Times New Roman" w:hAnsi="Calibri" w:cs="Calibri"/>
          <w:b/>
          <w:color w:val="548DD4"/>
          <w:sz w:val="20"/>
          <w:szCs w:val="24"/>
          <w:lang w:eastAsia="fr-FR"/>
        </w:rPr>
        <w:t>un (1) lot technique</w:t>
      </w:r>
      <w:r w:rsidRPr="002059BD">
        <w:rPr>
          <w:rFonts w:ascii="Calibri" w:eastAsia="Times New Roman" w:hAnsi="Calibri" w:cs="Calibri"/>
          <w:b/>
          <w:color w:val="548DD4"/>
          <w:sz w:val="20"/>
          <w:szCs w:val="24"/>
          <w:lang w:eastAsia="fr-FR"/>
        </w:rPr>
        <w:t> :</w:t>
      </w:r>
    </w:p>
    <w:p w14:paraId="5A5E5B92" w14:textId="30C0D79F" w:rsidR="002059BD" w:rsidRDefault="002059BD" w:rsidP="00E4154F">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 xml:space="preserve">Lot </w:t>
      </w:r>
      <w:r w:rsidR="004A651C">
        <w:rPr>
          <w:rFonts w:ascii="Calibri" w:eastAsia="Times New Roman" w:hAnsi="Calibri" w:cs="Calibri"/>
          <w:b/>
          <w:color w:val="548DD4"/>
          <w:sz w:val="20"/>
          <w:szCs w:val="24"/>
          <w:lang w:eastAsia="fr-FR"/>
        </w:rPr>
        <w:t>04 </w:t>
      </w:r>
      <w:r>
        <w:rPr>
          <w:rFonts w:ascii="Calibri" w:eastAsia="Times New Roman" w:hAnsi="Calibri" w:cs="Calibri"/>
          <w:b/>
          <w:color w:val="548DD4"/>
          <w:sz w:val="20"/>
          <w:szCs w:val="24"/>
          <w:lang w:eastAsia="fr-FR"/>
        </w:rPr>
        <w:t xml:space="preserve">: Charpente/Couverture du bâtiment </w:t>
      </w:r>
      <w:r w:rsidR="000468C6">
        <w:rPr>
          <w:rFonts w:ascii="Calibri" w:eastAsia="Times New Roman" w:hAnsi="Calibri" w:cs="Calibri"/>
          <w:b/>
          <w:color w:val="548DD4"/>
          <w:sz w:val="20"/>
          <w:szCs w:val="24"/>
          <w:lang w:eastAsia="fr-FR"/>
        </w:rPr>
        <w:t>CD</w:t>
      </w:r>
      <w:r w:rsidR="000B13B6">
        <w:rPr>
          <w:rFonts w:ascii="Calibri" w:eastAsia="Times New Roman" w:hAnsi="Calibri" w:cs="Calibri"/>
          <w:b/>
          <w:color w:val="548DD4"/>
          <w:sz w:val="20"/>
          <w:szCs w:val="24"/>
          <w:lang w:eastAsia="fr-FR"/>
        </w:rPr>
        <w:t xml:space="preserve">, </w:t>
      </w:r>
      <w:r w:rsidR="000468C6">
        <w:rPr>
          <w:rFonts w:ascii="Calibri" w:eastAsia="Times New Roman" w:hAnsi="Calibri" w:cs="Calibri"/>
          <w:b/>
          <w:color w:val="548DD4"/>
          <w:sz w:val="20"/>
          <w:szCs w:val="24"/>
          <w:lang w:eastAsia="fr-FR"/>
        </w:rPr>
        <w:t>EF</w:t>
      </w:r>
      <w:r>
        <w:rPr>
          <w:rFonts w:ascii="Calibri" w:eastAsia="Times New Roman" w:hAnsi="Calibri" w:cs="Calibri"/>
          <w:b/>
          <w:color w:val="548DD4"/>
          <w:sz w:val="20"/>
          <w:szCs w:val="24"/>
          <w:lang w:eastAsia="fr-FR"/>
        </w:rPr>
        <w:t> ;</w:t>
      </w: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73592F" w:rsidRDefault="00513C41" w:rsidP="00513C41">
      <w:pPr>
        <w:spacing w:after="0" w:line="240" w:lineRule="auto"/>
        <w:jc w:val="both"/>
        <w:outlineLvl w:val="0"/>
        <w:rPr>
          <w:rFonts w:ascii="Calibri" w:eastAsia="Times New Roman" w:hAnsi="Calibri" w:cs="Calibri"/>
          <w:sz w:val="20"/>
          <w:szCs w:val="24"/>
          <w:lang w:eastAsia="fr-FR"/>
        </w:rPr>
      </w:pPr>
    </w:p>
    <w:p w14:paraId="1C520240" w14:textId="06DF43B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26946">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085A36E4" w14:textId="4A1C4A62" w:rsidR="00513C41" w:rsidRPr="00513C41" w:rsidRDefault="00513C41" w:rsidP="0073592F">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26946">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six</w:t>
      </w:r>
      <w:r w:rsidR="008372CB">
        <w:rPr>
          <w:rFonts w:ascii="Calibri" w:eastAsia="Times New Roman" w:hAnsi="Calibri" w:cs="Calibri"/>
          <w:b/>
          <w:sz w:val="20"/>
          <w:szCs w:val="24"/>
          <w:lang w:eastAsia="fr-FR"/>
        </w:rPr>
        <w:t xml:space="preserve"> (6)</w:t>
      </w:r>
      <w:r w:rsidRPr="00513C41">
        <w:rPr>
          <w:rFonts w:ascii="Calibri" w:eastAsia="Times New Roman" w:hAnsi="Calibri" w:cs="Calibri"/>
          <w:b/>
          <w:sz w:val="20"/>
          <w:szCs w:val="24"/>
          <w:lang w:eastAsia="fr-FR"/>
        </w:rPr>
        <w:t xml:space="preserve">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632469BD" w14:textId="12C6A7E0" w:rsidR="00513C41" w:rsidRPr="00855BE1" w:rsidRDefault="00B048BB" w:rsidP="0073592F">
      <w:pPr>
        <w:spacing w:before="120"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B26946">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les travaux et prestations devront être exécutés</w:t>
      </w:r>
      <w:r w:rsidR="00745BB6">
        <w:rPr>
          <w:rFonts w:ascii="Calibri" w:eastAsia="Times New Roman" w:hAnsi="Calibri" w:cs="Calibri"/>
          <w:sz w:val="20"/>
          <w:szCs w:val="20"/>
          <w:lang w:eastAsia="fr-FR"/>
        </w:rPr>
        <w:t> </w:t>
      </w:r>
      <w:r w:rsidR="00745BB6" w:rsidRPr="00855BE1">
        <w:rPr>
          <w:rFonts w:ascii="Calibri" w:eastAsia="Times New Roman" w:hAnsi="Calibri" w:cs="Calibri"/>
          <w:b/>
          <w:sz w:val="20"/>
          <w:szCs w:val="20"/>
          <w:lang w:eastAsia="fr-FR"/>
        </w:rPr>
        <w:t>d</w:t>
      </w:r>
      <w:r w:rsidR="00745BB6" w:rsidRPr="00855BE1">
        <w:rPr>
          <w:rFonts w:ascii="Calibri" w:eastAsia="Times New Roman" w:hAnsi="Calibri" w:cs="Calibri"/>
          <w:b/>
          <w:bCs/>
          <w:sz w:val="20"/>
          <w:szCs w:val="20"/>
          <w:lang w:eastAsia="fr-FR"/>
        </w:rPr>
        <w:t xml:space="preserve">ans un délai maximum de </w:t>
      </w:r>
      <w:r w:rsidR="000B13B6">
        <w:rPr>
          <w:rFonts w:ascii="Calibri" w:eastAsia="Times New Roman" w:hAnsi="Calibri" w:cs="Calibri"/>
          <w:b/>
          <w:bCs/>
          <w:sz w:val="20"/>
          <w:szCs w:val="20"/>
          <w:lang w:eastAsia="fr-FR"/>
        </w:rPr>
        <w:t>quatre (4</w:t>
      </w:r>
      <w:r w:rsidR="008372CB">
        <w:rPr>
          <w:rFonts w:ascii="Calibri" w:eastAsia="Times New Roman" w:hAnsi="Calibri" w:cs="Calibri"/>
          <w:b/>
          <w:bCs/>
          <w:sz w:val="20"/>
          <w:szCs w:val="20"/>
          <w:lang w:eastAsia="fr-FR"/>
        </w:rPr>
        <w:t>)</w:t>
      </w:r>
      <w:r w:rsidR="00745BB6" w:rsidRPr="00855BE1">
        <w:rPr>
          <w:rFonts w:ascii="Calibri" w:eastAsia="Times New Roman" w:hAnsi="Calibri" w:cs="Calibri"/>
          <w:b/>
          <w:bCs/>
          <w:sz w:val="20"/>
          <w:szCs w:val="20"/>
          <w:lang w:eastAsia="fr-FR"/>
        </w:rPr>
        <w:t xml:space="preserve"> mois </w:t>
      </w:r>
      <w:r w:rsidR="00513C41" w:rsidRPr="00855BE1">
        <w:rPr>
          <w:rFonts w:ascii="Calibri" w:eastAsia="Times New Roman" w:hAnsi="Calibri" w:cs="Calibri"/>
          <w:b/>
          <w:bCs/>
          <w:sz w:val="20"/>
          <w:szCs w:val="20"/>
          <w:lang w:eastAsia="fr-FR"/>
        </w:rPr>
        <w:t xml:space="preserve">y compris la période de préparation d’une durée de </w:t>
      </w:r>
      <w:r w:rsidR="00AD76B1">
        <w:rPr>
          <w:rFonts w:ascii="Calibri" w:eastAsia="Times New Roman" w:hAnsi="Calibri" w:cs="Calibri"/>
          <w:b/>
          <w:bCs/>
          <w:color w:val="548DD4"/>
          <w:sz w:val="20"/>
          <w:szCs w:val="20"/>
          <w:lang w:eastAsia="fr-FR"/>
        </w:rPr>
        <w:t>quinze (15) jours</w:t>
      </w:r>
      <w:r w:rsidR="00513C41" w:rsidRPr="00855BE1">
        <w:rPr>
          <w:rFonts w:ascii="Calibri" w:eastAsia="Times New Roman" w:hAnsi="Calibri" w:cs="Calibri"/>
          <w:color w:val="548DD4"/>
          <w:sz w:val="20"/>
          <w:szCs w:val="20"/>
          <w:lang w:eastAsia="fr-FR"/>
        </w:rPr>
        <w:t xml:space="preserve"> </w:t>
      </w:r>
      <w:r w:rsidR="00513C41" w:rsidRPr="00855BE1">
        <w:rPr>
          <w:rFonts w:ascii="Calibri" w:eastAsia="Times New Roman" w:hAnsi="Calibri" w:cs="Calibri"/>
          <w:sz w:val="20"/>
          <w:szCs w:val="20"/>
          <w:lang w:eastAsia="fr-FR"/>
        </w:rPr>
        <w:t>à compter de la date de rem</w:t>
      </w:r>
      <w:r w:rsidRPr="00855BE1">
        <w:rPr>
          <w:rFonts w:ascii="Calibri" w:eastAsia="Times New Roman" w:hAnsi="Calibri" w:cs="Calibri"/>
          <w:sz w:val="20"/>
          <w:szCs w:val="20"/>
          <w:lang w:eastAsia="fr-FR"/>
        </w:rPr>
        <w:t>ise de l’OS</w:t>
      </w:r>
      <w:r w:rsidR="00513C41" w:rsidRPr="00855BE1">
        <w:rPr>
          <w:rFonts w:ascii="Calibri" w:eastAsia="Times New Roman" w:hAnsi="Calibri" w:cs="Calibri"/>
          <w:sz w:val="20"/>
          <w:szCs w:val="20"/>
          <w:lang w:eastAsia="fr-FR"/>
        </w:rPr>
        <w:t xml:space="preserve"> par le </w:t>
      </w:r>
      <w:r w:rsidR="00B26946">
        <w:rPr>
          <w:rFonts w:ascii="Calibri" w:eastAsia="Times New Roman" w:hAnsi="Calibri" w:cs="Calibri"/>
          <w:sz w:val="20"/>
          <w:szCs w:val="20"/>
          <w:lang w:eastAsia="fr-FR"/>
        </w:rPr>
        <w:t>MO</w:t>
      </w:r>
      <w:r w:rsidR="00513C41" w:rsidRPr="00855BE1">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23BBD0F4" w14:textId="77777777" w:rsidR="0073592F" w:rsidRDefault="0073592F" w:rsidP="00513C41">
      <w:pPr>
        <w:spacing w:after="0" w:line="240" w:lineRule="auto"/>
        <w:jc w:val="both"/>
        <w:rPr>
          <w:rFonts w:ascii="Calibri" w:eastAsia="Times New Roman" w:hAnsi="Calibri" w:cs="Calibri"/>
          <w:sz w:val="20"/>
          <w:szCs w:val="24"/>
          <w:lang w:eastAsia="fr-FR"/>
        </w:rPr>
      </w:pPr>
    </w:p>
    <w:p w14:paraId="72495108" w14:textId="7996A81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7C678E17" w:rsidR="00513C41" w:rsidRDefault="00513C41" w:rsidP="0073592F">
      <w:pPr>
        <w:spacing w:before="120"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w:t>
      </w:r>
      <w:r w:rsidR="000468C6">
        <w:rPr>
          <w:rFonts w:ascii="Calibri" w:eastAsia="Times New Roman" w:hAnsi="Calibri" w:cs="Calibri"/>
          <w:sz w:val="20"/>
          <w:szCs w:val="24"/>
          <w:lang w:eastAsia="fr-FR"/>
        </w:rPr>
        <w:t xml:space="preserve">e </w:t>
      </w:r>
      <w:r w:rsidR="000468C6">
        <w:rPr>
          <w:rFonts w:ascii="Calibri" w:eastAsia="Times New Roman" w:hAnsi="Calibri" w:cs="Calibri"/>
          <w:b/>
          <w:color w:val="548DD4"/>
          <w:sz w:val="20"/>
          <w:szCs w:val="24"/>
          <w:lang w:eastAsia="fr-FR"/>
        </w:rPr>
        <w:t>juillet 2023</w:t>
      </w:r>
      <w:r w:rsidRPr="00513C41">
        <w:rPr>
          <w:rFonts w:ascii="Calibri" w:eastAsia="Times New Roman" w:hAnsi="Calibri" w:cs="Calibri"/>
          <w:b/>
          <w:color w:val="548DD4"/>
          <w:sz w:val="20"/>
          <w:szCs w:val="24"/>
          <w:lang w:eastAsia="fr-FR"/>
        </w:rPr>
        <w:t>.</w:t>
      </w:r>
    </w:p>
    <w:p w14:paraId="3087DD05" w14:textId="5342762E" w:rsidR="004946E4" w:rsidRPr="004946E4" w:rsidRDefault="004946E4" w:rsidP="0073592F">
      <w:pPr>
        <w:spacing w:before="120"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2EC2C266" w14:textId="6DA86ACF" w:rsidR="00513C41" w:rsidRPr="00513C41" w:rsidRDefault="00B048BB" w:rsidP="0073592F">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00A88C30" w14:textId="038FEFBC" w:rsidR="00513C41" w:rsidRDefault="0040357E"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Sans objet.</w:t>
      </w:r>
    </w:p>
    <w:p w14:paraId="4C29C2FA" w14:textId="77777777" w:rsidR="0040357E" w:rsidRPr="00513C41" w:rsidRDefault="0040357E" w:rsidP="0073592F">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au métré </w:t>
      </w:r>
    </w:p>
    <w:p w14:paraId="7929BF31" w14:textId="77777777" w:rsidR="0040357E" w:rsidRPr="00513C41" w:rsidRDefault="0040357E" w:rsidP="0040357E">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aux quantités réellement exécutées en application des prix unitaires don</w:t>
      </w:r>
      <w:r>
        <w:rPr>
          <w:rFonts w:ascii="Calibri" w:eastAsia="Times New Roman" w:hAnsi="Calibri" w:cs="Calibri"/>
          <w:sz w:val="20"/>
          <w:szCs w:val="24"/>
          <w:lang w:eastAsia="fr-FR"/>
        </w:rPr>
        <w:t>t le libellé est donné dans le Bordereau des Prix U</w:t>
      </w:r>
      <w:r w:rsidRPr="00513C41">
        <w:rPr>
          <w:rFonts w:ascii="Calibri" w:eastAsia="Times New Roman" w:hAnsi="Calibri" w:cs="Calibri"/>
          <w:sz w:val="20"/>
          <w:szCs w:val="24"/>
          <w:lang w:eastAsia="fr-FR"/>
        </w:rPr>
        <w:t>nitaires (</w:t>
      </w:r>
      <w:r>
        <w:rPr>
          <w:rFonts w:ascii="Calibri" w:eastAsia="Times New Roman" w:hAnsi="Calibri" w:cs="Calibri"/>
          <w:sz w:val="20"/>
          <w:szCs w:val="24"/>
          <w:lang w:eastAsia="fr-FR"/>
        </w:rPr>
        <w:t>BPU</w:t>
      </w:r>
      <w:r w:rsidRPr="00513C41">
        <w:rPr>
          <w:rFonts w:ascii="Calibri" w:eastAsia="Times New Roman" w:hAnsi="Calibri" w:cs="Calibri"/>
          <w:sz w:val="20"/>
          <w:szCs w:val="24"/>
          <w:lang w:eastAsia="fr-FR"/>
        </w:rPr>
        <w:t>).</w:t>
      </w:r>
    </w:p>
    <w:p w14:paraId="3590F291" w14:textId="61B1321E" w:rsidR="00C128FB" w:rsidRDefault="00C128FB" w:rsidP="00513C41">
      <w:pPr>
        <w:spacing w:after="0" w:line="240" w:lineRule="auto"/>
        <w:jc w:val="both"/>
        <w:rPr>
          <w:rFonts w:ascii="Calibri" w:eastAsia="Times New Roman" w:hAnsi="Calibri" w:cs="Calibri"/>
          <w:b/>
          <w:sz w:val="18"/>
          <w:szCs w:val="18"/>
          <w:lang w:eastAsia="fr-FR"/>
        </w:rPr>
      </w:pPr>
    </w:p>
    <w:p w14:paraId="65DC88BB" w14:textId="77777777" w:rsidR="009F7B0C" w:rsidRPr="00513C41" w:rsidRDefault="009F7B0C" w:rsidP="00513C41">
      <w:pPr>
        <w:spacing w:after="0" w:line="240" w:lineRule="auto"/>
        <w:jc w:val="both"/>
        <w:rPr>
          <w:rFonts w:ascii="Calibri" w:eastAsia="Times New Roman" w:hAnsi="Calibri" w:cs="Calibri"/>
          <w:b/>
          <w:sz w:val="18"/>
          <w:szCs w:val="18"/>
          <w:lang w:eastAsia="fr-FR"/>
        </w:rPr>
      </w:pPr>
      <w:bookmarkStart w:id="0" w:name="_GoBack"/>
      <w:bookmarkEnd w:id="0"/>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6 – MONTANT du marche</w:t>
      </w:r>
    </w:p>
    <w:p w14:paraId="257B2865" w14:textId="77777777" w:rsidR="001D43DB" w:rsidRDefault="001D43DB" w:rsidP="00513C41">
      <w:pPr>
        <w:spacing w:after="0" w:line="240" w:lineRule="auto"/>
        <w:jc w:val="both"/>
        <w:rPr>
          <w:rFonts w:ascii="Calibri" w:eastAsia="Times New Roman" w:hAnsi="Calibri" w:cs="Calibri"/>
          <w:sz w:val="20"/>
          <w:szCs w:val="24"/>
          <w:lang w:eastAsia="fr-FR"/>
        </w:rPr>
      </w:pPr>
    </w:p>
    <w:bookmarkStart w:id="1" w:name="_MON_1610964804"/>
    <w:bookmarkEnd w:id="1"/>
    <w:p w14:paraId="70EC0615" w14:textId="379E0184" w:rsidR="00513C41" w:rsidRPr="00513C41" w:rsidRDefault="000B13B6" w:rsidP="002D329C">
      <w:pPr>
        <w:spacing w:after="0" w:line="240" w:lineRule="auto"/>
        <w:jc w:val="center"/>
        <w:rPr>
          <w:rFonts w:ascii="Calibri" w:eastAsia="Times New Roman" w:hAnsi="Calibri" w:cs="Calibri"/>
          <w:sz w:val="20"/>
          <w:szCs w:val="24"/>
          <w:lang w:eastAsia="fr-FR"/>
        </w:rPr>
      </w:pPr>
      <w:r w:rsidRPr="00513C41">
        <w:rPr>
          <w:rFonts w:ascii="Calibri" w:eastAsia="Times New Roman" w:hAnsi="Calibri" w:cs="Calibri"/>
          <w:sz w:val="20"/>
          <w:szCs w:val="24"/>
          <w:lang w:eastAsia="fr-FR"/>
        </w:rPr>
        <w:object w:dxaOrig="9841" w:dyaOrig="1179" w14:anchorId="6386D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75pt" o:ole="">
            <v:imagedata r:id="rId11" o:title=""/>
          </v:shape>
          <o:OLEObject Type="Embed" ProgID="Excel.Sheet.12" ShapeID="_x0000_i1025" DrawAspect="Content" ObjectID="_1750082118" r:id="rId12"/>
        </w:object>
      </w:r>
    </w:p>
    <w:p w14:paraId="29B23A5B" w14:textId="77777777" w:rsidR="00513C41" w:rsidRPr="00513C41" w:rsidRDefault="00513C41" w:rsidP="0073592F">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58B11165" w:rsidR="00513C41" w:rsidRPr="00CA1BF8" w:rsidRDefault="002D329C"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513C41" w:rsidRPr="00513C41">
        <w:rPr>
          <w:rFonts w:ascii="Calibri" w:eastAsia="Times New Roman" w:hAnsi="Calibri" w:cs="Calibri"/>
          <w:b/>
          <w:color w:val="548DD4"/>
          <w:sz w:val="20"/>
          <w:szCs w:val="24"/>
          <w:lang w:eastAsia="fr-FR"/>
        </w:rPr>
        <w:t xml:space="preserve">francs CFP </w:t>
      </w:r>
      <w:r w:rsidR="000B13B6">
        <w:rPr>
          <w:rFonts w:ascii="Calibri" w:eastAsia="Times New Roman" w:hAnsi="Calibri" w:cs="Calibri"/>
          <w:b/>
          <w:color w:val="548DD4"/>
          <w:sz w:val="20"/>
          <w:szCs w:val="24"/>
          <w:lang w:eastAsia="fr-FR"/>
        </w:rPr>
        <w:t>TTC</w:t>
      </w:r>
      <w:r w:rsidR="007F60D1">
        <w:rPr>
          <w:rFonts w:ascii="Calibri" w:eastAsia="Times New Roman" w:hAnsi="Calibri" w:cs="Calibri"/>
          <w:b/>
          <w:color w:val="548DD4"/>
          <w:sz w:val="20"/>
          <w:szCs w:val="24"/>
          <w:lang w:eastAsia="fr-FR"/>
        </w:rPr>
        <w:t>.</w:t>
      </w: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4656AE51"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F22583">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77777777" w:rsidR="00513C41" w:rsidRPr="00513C41" w:rsidRDefault="00513C41" w:rsidP="00F22583">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1CDEF110" w:rsidR="004414E4" w:rsidRPr="00513C41" w:rsidRDefault="00513C41" w:rsidP="00F22583">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tbl>
      <w:tblPr>
        <w:tblStyle w:val="Grilledutableau1"/>
        <w:tblW w:w="10030" w:type="dxa"/>
        <w:jc w:val="center"/>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2D329C">
        <w:trPr>
          <w:jc w:val="center"/>
        </w:trPr>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2D329C">
        <w:trPr>
          <w:jc w:val="center"/>
        </w:trPr>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2D329C">
        <w:trPr>
          <w:jc w:val="center"/>
        </w:trPr>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3F383868" w:rsidR="00727D79" w:rsidRPr="00727D79" w:rsidRDefault="00657D15" w:rsidP="00657D15">
            <w:pPr>
              <w:tabs>
                <w:tab w:val="left" w:pos="240"/>
                <w:tab w:val="center" w:pos="459"/>
              </w:tabs>
              <w:rPr>
                <w:rFonts w:ascii="Calibri" w:hAnsi="Calibri" w:cs="Calibri"/>
                <w:b/>
                <w:bCs/>
                <w:color w:val="F79646"/>
                <w14:textFill>
                  <w14:solidFill>
                    <w14:srgbClr w14:val="F79646">
                      <w14:lumMod w14:val="75000"/>
                    </w14:srgbClr>
                  </w14:solidFill>
                </w14:textFill>
              </w:rPr>
            </w:pPr>
            <w:r>
              <w:rPr>
                <w:rFonts w:ascii="Calibri" w:hAnsi="Calibri" w:cs="Calibri"/>
                <w:b/>
                <w:bCs/>
                <w:color w:val="F79646"/>
                <w14:textFill>
                  <w14:solidFill>
                    <w14:srgbClr w14:val="F79646">
                      <w14:lumMod w14:val="75000"/>
                    </w14:srgbClr>
                  </w14:solidFill>
                </w14:textFill>
              </w:rPr>
              <w:tab/>
            </w:r>
            <w:r>
              <w:rPr>
                <w:rFonts w:ascii="Calibri" w:hAnsi="Calibri" w:cs="Calibri"/>
                <w:b/>
                <w:bCs/>
                <w:color w:val="F79646"/>
                <w14:textFill>
                  <w14:solidFill>
                    <w14:srgbClr w14:val="F79646">
                      <w14:lumMod w14:val="75000"/>
                    </w14:srgbClr>
                  </w14:solidFill>
                </w14:textFill>
              </w:rPr>
              <w:tab/>
            </w:r>
            <w:r w:rsidR="00727D79"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2D329C">
        <w:trPr>
          <w:jc w:val="center"/>
        </w:trPr>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2D329C">
        <w:trPr>
          <w:jc w:val="center"/>
        </w:trPr>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2D329C">
        <w:trPr>
          <w:jc w:val="center"/>
        </w:trPr>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2D329C">
        <w:trPr>
          <w:jc w:val="center"/>
        </w:trPr>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657D15">
            <w:pPr>
              <w:jc w:val="center"/>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2D329C">
        <w:trPr>
          <w:jc w:val="center"/>
        </w:trPr>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F67A27" w14:textId="5E14FE12" w:rsidR="00513C41" w:rsidRPr="00F458D0" w:rsidRDefault="00F458D0" w:rsidP="00F22583">
      <w:pPr>
        <w:keepNext/>
        <w:keepLines/>
        <w:spacing w:before="120"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464EF4A4" w:rsidR="00513C41" w:rsidRPr="00513C41" w:rsidRDefault="00513C41" w:rsidP="00F22583">
      <w:pPr>
        <w:spacing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1D43DB" w:rsidRPr="001D43DB">
        <w:rPr>
          <w:rFonts w:ascii="Calibri" w:eastAsia="Times New Roman" w:hAnsi="Calibri" w:cs="Calibri"/>
          <w:b/>
          <w:color w:val="5B9BD5" w:themeColor="accent1"/>
          <w:sz w:val="20"/>
          <w:szCs w:val="20"/>
          <w:lang w:eastAsia="fr-FR"/>
        </w:rPr>
        <w:t>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jc w:val="center"/>
        <w:tblLook w:val="04A0" w:firstRow="1" w:lastRow="0" w:firstColumn="1" w:lastColumn="0" w:noHBand="0" w:noVBand="1"/>
      </w:tblPr>
      <w:tblGrid>
        <w:gridCol w:w="4140"/>
        <w:gridCol w:w="3685"/>
      </w:tblGrid>
      <w:tr w:rsidR="00513C41" w:rsidRPr="00513C41" w14:paraId="51B788BB" w14:textId="77777777" w:rsidTr="002D329C">
        <w:trPr>
          <w:trHeight w:val="284"/>
          <w:jc w:val="center"/>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0599F2FC"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HT</w:t>
            </w:r>
          </w:p>
        </w:tc>
      </w:tr>
      <w:tr w:rsidR="00513C41" w:rsidRPr="00513C41" w14:paraId="4BA2E47D" w14:textId="77777777" w:rsidTr="002D329C">
        <w:trPr>
          <w:trHeight w:val="284"/>
          <w:jc w:val="center"/>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F22583" w:rsidRDefault="00513C41" w:rsidP="00513C41">
      <w:pPr>
        <w:spacing w:after="0" w:line="240" w:lineRule="auto"/>
        <w:jc w:val="both"/>
        <w:outlineLvl w:val="0"/>
        <w:rPr>
          <w:rFonts w:ascii="Calibri" w:eastAsia="Times New Roman" w:hAnsi="Calibri" w:cs="Calibri"/>
          <w:sz w:val="20"/>
          <w:szCs w:val="20"/>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F22583">
      <w:pPr>
        <w:spacing w:after="0" w:line="240" w:lineRule="auto"/>
        <w:jc w:val="both"/>
        <w:outlineLvl w:val="0"/>
        <w:rPr>
          <w:rFonts w:ascii="Calibri" w:eastAsia="Times New Roman" w:hAnsi="Calibri" w:cs="Calibri"/>
          <w:sz w:val="20"/>
          <w:szCs w:val="20"/>
          <w:lang w:eastAsia="fr-FR"/>
        </w:rPr>
      </w:pPr>
    </w:p>
    <w:p w14:paraId="12FE5B70" w14:textId="1890861F" w:rsidR="00513C41" w:rsidRPr="00513C41" w:rsidRDefault="00513C41" w:rsidP="00F22583">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2D329C">
        <w:trPr>
          <w:trHeight w:val="340"/>
          <w:jc w:val="center"/>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2D329C">
        <w:trPr>
          <w:trHeight w:val="340"/>
          <w:jc w:val="center"/>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298312FC" w:rsidR="00513C41" w:rsidRPr="00513C41" w:rsidRDefault="00513C41" w:rsidP="00F22583">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B26946">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84DF33A" w:rsidR="000B13B6" w:rsidRDefault="000B13B6">
      <w:pPr>
        <w:rPr>
          <w:rFonts w:eastAsia="Times New Roman" w:cstheme="minorHAnsi"/>
          <w:sz w:val="20"/>
          <w:szCs w:val="20"/>
          <w:lang w:eastAsia="fr-FR"/>
        </w:rPr>
      </w:pPr>
      <w:r>
        <w:rPr>
          <w:rFonts w:eastAsia="Times New Roman" w:cstheme="minorHAnsi"/>
          <w:sz w:val="20"/>
          <w:szCs w:val="20"/>
          <w:lang w:eastAsia="fr-FR"/>
        </w:rPr>
        <w:br w:type="page"/>
      </w:r>
    </w:p>
    <w:p w14:paraId="6178FF77"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7D5D5520"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855BE1">
        <w:rPr>
          <w:rFonts w:eastAsia="Times New Roman" w:cstheme="minorHAnsi"/>
          <w:b/>
          <w:color w:val="2E74B5" w:themeColor="accent1" w:themeShade="BF"/>
          <w:sz w:val="20"/>
          <w:szCs w:val="20"/>
          <w:lang w:eastAsia="fr-FR"/>
        </w:rPr>
        <w:tab/>
      </w:r>
      <w:r w:rsidR="00855BE1">
        <w:rPr>
          <w:rFonts w:eastAsia="Times New Roman" w:cstheme="minorHAnsi"/>
          <w:b/>
          <w:color w:val="2E74B5" w:themeColor="accent1" w:themeShade="BF"/>
          <w:sz w:val="20"/>
          <w:szCs w:val="20"/>
          <w:lang w:eastAsia="fr-FR"/>
        </w:rPr>
        <w:tab/>
      </w:r>
      <w:r w:rsidR="00855BE1">
        <w:rPr>
          <w:rFonts w:eastAsia="Times New Roman" w:cstheme="minorHAnsi"/>
          <w:b/>
          <w:color w:val="2E74B5" w:themeColor="accent1" w:themeShade="BF"/>
          <w:sz w:val="20"/>
          <w:szCs w:val="20"/>
          <w:lang w:eastAsia="fr-FR"/>
        </w:rPr>
        <w:tab/>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E4154F">
        <w:trPr>
          <w:trHeight w:val="1835"/>
        </w:trPr>
        <w:tc>
          <w:tcPr>
            <w:tcW w:w="2135" w:type="pct"/>
          </w:tcPr>
          <w:p w14:paraId="2B5C72DA" w14:textId="767E2B08" w:rsidR="00E855B4" w:rsidRPr="009247B4" w:rsidRDefault="00E855B4" w:rsidP="00E4154F">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E4154F">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E4154F">
            <w:pPr>
              <w:spacing w:after="0" w:line="240" w:lineRule="auto"/>
              <w:jc w:val="center"/>
              <w:rPr>
                <w:rFonts w:eastAsia="Times New Roman" w:cstheme="minorHAnsi"/>
                <w:sz w:val="20"/>
                <w:szCs w:val="20"/>
                <w:lang w:eastAsia="fr-FR"/>
              </w:rPr>
            </w:pPr>
          </w:p>
          <w:p w14:paraId="5C96EFFC" w14:textId="77777777" w:rsidR="00E855B4" w:rsidRPr="009247B4" w:rsidRDefault="00E855B4" w:rsidP="00E4154F">
            <w:pPr>
              <w:spacing w:after="0" w:line="240" w:lineRule="auto"/>
              <w:jc w:val="center"/>
              <w:rPr>
                <w:rFonts w:eastAsia="Times New Roman" w:cstheme="minorHAnsi"/>
                <w:sz w:val="20"/>
                <w:szCs w:val="20"/>
                <w:lang w:eastAsia="fr-FR"/>
              </w:rPr>
            </w:pPr>
          </w:p>
          <w:p w14:paraId="2581794E" w14:textId="77777777" w:rsidR="00E855B4" w:rsidRPr="009247B4" w:rsidRDefault="00E855B4" w:rsidP="00E4154F">
            <w:pPr>
              <w:spacing w:after="0" w:line="240" w:lineRule="auto"/>
              <w:jc w:val="center"/>
              <w:rPr>
                <w:rFonts w:eastAsia="Times New Roman" w:cstheme="minorHAnsi"/>
                <w:sz w:val="20"/>
                <w:szCs w:val="20"/>
                <w:lang w:eastAsia="fr-FR"/>
              </w:rPr>
            </w:pPr>
          </w:p>
          <w:p w14:paraId="7317683E" w14:textId="77777777" w:rsidR="00E855B4" w:rsidRPr="009247B4" w:rsidRDefault="00E855B4" w:rsidP="00E4154F">
            <w:pPr>
              <w:spacing w:after="0" w:line="240" w:lineRule="auto"/>
              <w:jc w:val="center"/>
              <w:rPr>
                <w:rFonts w:eastAsia="Times New Roman" w:cstheme="minorHAnsi"/>
                <w:b/>
                <w:sz w:val="20"/>
                <w:szCs w:val="20"/>
                <w:lang w:eastAsia="fr-FR"/>
              </w:rPr>
            </w:pPr>
          </w:p>
          <w:p w14:paraId="64071A97" w14:textId="77777777" w:rsidR="00E855B4" w:rsidRPr="009247B4" w:rsidRDefault="00E855B4" w:rsidP="00E4154F">
            <w:pPr>
              <w:spacing w:after="0" w:line="240" w:lineRule="auto"/>
              <w:jc w:val="center"/>
              <w:rPr>
                <w:rFonts w:eastAsia="Times New Roman" w:cstheme="minorHAnsi"/>
                <w:sz w:val="20"/>
                <w:szCs w:val="20"/>
                <w:lang w:eastAsia="fr-FR"/>
              </w:rPr>
            </w:pPr>
          </w:p>
          <w:p w14:paraId="7F940DA9" w14:textId="77777777" w:rsidR="00E855B4" w:rsidRPr="009247B4" w:rsidRDefault="00E855B4" w:rsidP="00E4154F">
            <w:pPr>
              <w:spacing w:after="0" w:line="240" w:lineRule="auto"/>
              <w:jc w:val="center"/>
              <w:rPr>
                <w:rFonts w:eastAsia="Times New Roman" w:cstheme="minorHAnsi"/>
                <w:sz w:val="20"/>
                <w:szCs w:val="20"/>
                <w:lang w:eastAsia="fr-FR"/>
              </w:rPr>
            </w:pPr>
          </w:p>
          <w:p w14:paraId="528CCEAC" w14:textId="4E834EF4" w:rsidR="00E855B4" w:rsidRPr="009247B4" w:rsidRDefault="00E855B4" w:rsidP="00E4154F">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6499F6BF"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default" r:id="rId13"/>
      <w:footerReference w:type="default" r:id="rId14"/>
      <w:headerReference w:type="first" r:id="rId15"/>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4727" w14:textId="77777777" w:rsidR="007164D8" w:rsidRDefault="007164D8" w:rsidP="00752797">
      <w:pPr>
        <w:spacing w:after="0" w:line="240" w:lineRule="auto"/>
      </w:pPr>
      <w:r>
        <w:separator/>
      </w:r>
    </w:p>
  </w:endnote>
  <w:endnote w:type="continuationSeparator" w:id="0">
    <w:p w14:paraId="46BC1675" w14:textId="77777777" w:rsidR="007164D8" w:rsidRDefault="007164D8"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5B8131C6" w:rsidR="007164D8" w:rsidRPr="001D43DB" w:rsidRDefault="007164D8" w:rsidP="004003D2">
    <w:pPr>
      <w:pStyle w:val="Pieddepage"/>
      <w:spacing w:after="240"/>
      <w:rPr>
        <w:rFonts w:cstheme="minorHAnsi"/>
        <w:sz w:val="16"/>
        <w:szCs w:val="16"/>
      </w:rPr>
    </w:pPr>
    <w:r w:rsidRPr="001D43DB">
      <w:rPr>
        <w:rFonts w:cstheme="minorHAnsi"/>
        <w:sz w:val="16"/>
        <w:szCs w:val="16"/>
      </w:rPr>
      <w:t xml:space="preserve">Marché de Travaux n° </w:t>
    </w:r>
    <w:r>
      <w:rPr>
        <w:rFonts w:cstheme="minorHAnsi"/>
        <w:b/>
        <w:color w:val="4F81BD"/>
        <w:sz w:val="16"/>
        <w:szCs w:val="16"/>
      </w:rPr>
      <w:t>206</w:t>
    </w:r>
    <w:r w:rsidR="000468C6">
      <w:rPr>
        <w:rFonts w:cstheme="minorHAnsi"/>
        <w:b/>
        <w:color w:val="4F81BD"/>
        <w:sz w:val="16"/>
        <w:szCs w:val="16"/>
      </w:rPr>
      <w:t>4</w:t>
    </w:r>
    <w:r>
      <w:rPr>
        <w:rFonts w:cstheme="minorHAnsi"/>
        <w:b/>
        <w:color w:val="4F81BD"/>
        <w:sz w:val="16"/>
        <w:szCs w:val="16"/>
      </w:rPr>
      <w:t>8/202</w:t>
    </w:r>
    <w:r w:rsidR="000468C6">
      <w:rPr>
        <w:rFonts w:cstheme="minorHAnsi"/>
        <w:b/>
        <w:color w:val="4F81BD"/>
        <w:sz w:val="16"/>
        <w:szCs w:val="16"/>
      </w:rPr>
      <w:t>3</w:t>
    </w:r>
    <w:r>
      <w:rPr>
        <w:rFonts w:cstheme="minorHAnsi"/>
        <w:b/>
        <w:color w:val="4F81BD"/>
        <w:sz w:val="16"/>
        <w:szCs w:val="16"/>
      </w:rPr>
      <w:t>/Tranche 1/345-XX</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0011772B" w:rsidRPr="0011772B">
      <w:rPr>
        <w:rFonts w:cstheme="minorHAnsi"/>
        <w:sz w:val="16"/>
        <w:szCs w:val="16"/>
      </w:rPr>
      <w:t xml:space="preserve">Page </w:t>
    </w:r>
    <w:r w:rsidR="0011772B" w:rsidRPr="0011772B">
      <w:rPr>
        <w:rFonts w:cstheme="minorHAnsi"/>
        <w:b/>
        <w:bCs/>
        <w:sz w:val="16"/>
        <w:szCs w:val="16"/>
      </w:rPr>
      <w:fldChar w:fldCharType="begin"/>
    </w:r>
    <w:r w:rsidR="0011772B" w:rsidRPr="0011772B">
      <w:rPr>
        <w:rFonts w:cstheme="minorHAnsi"/>
        <w:b/>
        <w:bCs/>
        <w:sz w:val="16"/>
        <w:szCs w:val="16"/>
      </w:rPr>
      <w:instrText>PAGE  \* Arabic  \* MERGEFORMAT</w:instrText>
    </w:r>
    <w:r w:rsidR="0011772B" w:rsidRPr="0011772B">
      <w:rPr>
        <w:rFonts w:cstheme="minorHAnsi"/>
        <w:b/>
        <w:bCs/>
        <w:sz w:val="16"/>
        <w:szCs w:val="16"/>
      </w:rPr>
      <w:fldChar w:fldCharType="separate"/>
    </w:r>
    <w:r w:rsidR="000B13B6">
      <w:rPr>
        <w:rFonts w:cstheme="minorHAnsi"/>
        <w:b/>
        <w:bCs/>
        <w:noProof/>
        <w:sz w:val="16"/>
        <w:szCs w:val="16"/>
      </w:rPr>
      <w:t>5</w:t>
    </w:r>
    <w:r w:rsidR="0011772B" w:rsidRPr="0011772B">
      <w:rPr>
        <w:rFonts w:cstheme="minorHAnsi"/>
        <w:b/>
        <w:bCs/>
        <w:sz w:val="16"/>
        <w:szCs w:val="16"/>
      </w:rPr>
      <w:fldChar w:fldCharType="end"/>
    </w:r>
    <w:r w:rsidR="0011772B" w:rsidRPr="0011772B">
      <w:rPr>
        <w:rFonts w:cstheme="minorHAnsi"/>
        <w:sz w:val="16"/>
        <w:szCs w:val="16"/>
      </w:rPr>
      <w:t xml:space="preserve"> sur </w:t>
    </w:r>
    <w:r w:rsidR="0011772B" w:rsidRPr="0011772B">
      <w:rPr>
        <w:rFonts w:cstheme="minorHAnsi"/>
        <w:b/>
        <w:bCs/>
        <w:sz w:val="16"/>
        <w:szCs w:val="16"/>
      </w:rPr>
      <w:fldChar w:fldCharType="begin"/>
    </w:r>
    <w:r w:rsidR="0011772B" w:rsidRPr="0011772B">
      <w:rPr>
        <w:rFonts w:cstheme="minorHAnsi"/>
        <w:b/>
        <w:bCs/>
        <w:sz w:val="16"/>
        <w:szCs w:val="16"/>
      </w:rPr>
      <w:instrText>NUMPAGES  \* Arabic  \* MERGEFORMAT</w:instrText>
    </w:r>
    <w:r w:rsidR="0011772B" w:rsidRPr="0011772B">
      <w:rPr>
        <w:rFonts w:cstheme="minorHAnsi"/>
        <w:b/>
        <w:bCs/>
        <w:sz w:val="16"/>
        <w:szCs w:val="16"/>
      </w:rPr>
      <w:fldChar w:fldCharType="separate"/>
    </w:r>
    <w:r w:rsidR="000B13B6">
      <w:rPr>
        <w:rFonts w:cstheme="minorHAnsi"/>
        <w:b/>
        <w:bCs/>
        <w:noProof/>
        <w:sz w:val="16"/>
        <w:szCs w:val="16"/>
      </w:rPr>
      <w:t>5</w:t>
    </w:r>
    <w:r w:rsidR="0011772B" w:rsidRPr="0011772B">
      <w:rPr>
        <w:rFonts w:cstheme="minorHAnsi"/>
        <w:b/>
        <w:bCs/>
        <w:sz w:val="16"/>
        <w:szCs w:val="16"/>
      </w:rPr>
      <w:fldChar w:fldCharType="end"/>
    </w:r>
  </w:p>
  <w:p w14:paraId="76B16199" w14:textId="77777777" w:rsidR="007164D8" w:rsidRDefault="00716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4E50" w14:textId="77777777" w:rsidR="007164D8" w:rsidRDefault="007164D8" w:rsidP="00752797">
      <w:pPr>
        <w:spacing w:after="0" w:line="240" w:lineRule="auto"/>
      </w:pPr>
      <w:r>
        <w:separator/>
      </w:r>
    </w:p>
  </w:footnote>
  <w:footnote w:type="continuationSeparator" w:id="0">
    <w:p w14:paraId="789F89A6" w14:textId="77777777" w:rsidR="007164D8" w:rsidRDefault="007164D8"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5839409D" w:rsidR="007164D8" w:rsidRPr="001D43DB" w:rsidRDefault="007164D8" w:rsidP="00465CFD">
    <w:pPr>
      <w:pStyle w:val="En-tte"/>
      <w:tabs>
        <w:tab w:val="clear" w:pos="4536"/>
      </w:tabs>
      <w:rPr>
        <w:b/>
        <w:color w:val="4F81BD"/>
        <w:sz w:val="16"/>
        <w:szCs w:val="16"/>
      </w:rPr>
    </w:pPr>
    <w:r>
      <w:rPr>
        <w:b/>
        <w:color w:val="4F81BD"/>
        <w:sz w:val="16"/>
        <w:szCs w:val="16"/>
      </w:rPr>
      <w:t xml:space="preserve">Changement des accessoires de couverture </w:t>
    </w:r>
    <w:r w:rsidR="00657D15">
      <w:rPr>
        <w:b/>
        <w:color w:val="4F81BD"/>
        <w:sz w:val="16"/>
        <w:szCs w:val="16"/>
      </w:rPr>
      <w:t xml:space="preserve">sur deux bâtiments </w:t>
    </w:r>
    <w:r>
      <w:rPr>
        <w:b/>
        <w:color w:val="4F81BD"/>
        <w:sz w:val="16"/>
        <w:szCs w:val="16"/>
      </w:rPr>
      <w:t>de la résidence Port Magenta – Commune de Nouméa</w:t>
    </w:r>
    <w:r w:rsidRPr="001D43DB">
      <w:rPr>
        <w:b/>
        <w:color w:val="4F81BD"/>
        <w:sz w:val="16"/>
        <w:szCs w:val="16"/>
      </w:rPr>
      <w:tab/>
    </w:r>
    <w:r w:rsidRPr="001D43DB">
      <w:rPr>
        <w:b/>
        <w:color w:val="4F81BD"/>
        <w:sz w:val="16"/>
        <w:szCs w:val="16"/>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70FCCF35" w:rsidR="007164D8" w:rsidRDefault="007164D8" w:rsidP="00926122">
    <w:pPr>
      <w:pStyle w:val="En-tte"/>
    </w:pPr>
    <w:r>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IMP-59a / 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C4C7D9C"/>
    <w:multiLevelType w:val="hybridMultilevel"/>
    <w:tmpl w:val="E1F88A90"/>
    <w:lvl w:ilvl="0" w:tplc="2F50A03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6"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0"/>
  </w:num>
  <w:num w:numId="6">
    <w:abstractNumId w:val="20"/>
  </w:num>
  <w:num w:numId="7">
    <w:abstractNumId w:val="19"/>
  </w:num>
  <w:num w:numId="8">
    <w:abstractNumId w:val="16"/>
  </w:num>
  <w:num w:numId="9">
    <w:abstractNumId w:val="24"/>
  </w:num>
  <w:num w:numId="10">
    <w:abstractNumId w:val="6"/>
  </w:num>
  <w:num w:numId="11">
    <w:abstractNumId w:val="4"/>
  </w:num>
  <w:num w:numId="12">
    <w:abstractNumId w:val="21"/>
  </w:num>
  <w:num w:numId="13">
    <w:abstractNumId w:val="5"/>
  </w:num>
  <w:num w:numId="14">
    <w:abstractNumId w:val="11"/>
  </w:num>
  <w:num w:numId="15">
    <w:abstractNumId w:val="14"/>
  </w:num>
  <w:num w:numId="16">
    <w:abstractNumId w:val="17"/>
  </w:num>
  <w:num w:numId="17">
    <w:abstractNumId w:val="8"/>
  </w:num>
  <w:num w:numId="18">
    <w:abstractNumId w:val="12"/>
  </w:num>
  <w:num w:numId="19">
    <w:abstractNumId w:val="7"/>
  </w:num>
  <w:num w:numId="20">
    <w:abstractNumId w:val="22"/>
  </w:num>
  <w:num w:numId="21">
    <w:abstractNumId w:val="23"/>
  </w:num>
  <w:num w:numId="22">
    <w:abstractNumId w:val="13"/>
  </w:num>
  <w:num w:numId="23">
    <w:abstractNumId w:val="1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07817"/>
    <w:rsid w:val="000468C6"/>
    <w:rsid w:val="0006117F"/>
    <w:rsid w:val="00081052"/>
    <w:rsid w:val="00093F9D"/>
    <w:rsid w:val="00094B0A"/>
    <w:rsid w:val="000A6D9F"/>
    <w:rsid w:val="000B13B6"/>
    <w:rsid w:val="000C0FAF"/>
    <w:rsid w:val="000C22EF"/>
    <w:rsid w:val="000C6AA3"/>
    <w:rsid w:val="00102C6F"/>
    <w:rsid w:val="00110202"/>
    <w:rsid w:val="0011772B"/>
    <w:rsid w:val="00152E26"/>
    <w:rsid w:val="00173991"/>
    <w:rsid w:val="00182089"/>
    <w:rsid w:val="001A11F4"/>
    <w:rsid w:val="001A587A"/>
    <w:rsid w:val="001D43DB"/>
    <w:rsid w:val="002059BD"/>
    <w:rsid w:val="00231248"/>
    <w:rsid w:val="002650D6"/>
    <w:rsid w:val="00270A33"/>
    <w:rsid w:val="00286A69"/>
    <w:rsid w:val="00287AB4"/>
    <w:rsid w:val="002971C5"/>
    <w:rsid w:val="002C13D4"/>
    <w:rsid w:val="002C52C6"/>
    <w:rsid w:val="002C5EAB"/>
    <w:rsid w:val="002C7820"/>
    <w:rsid w:val="002D329C"/>
    <w:rsid w:val="003062B5"/>
    <w:rsid w:val="003077E8"/>
    <w:rsid w:val="00325F92"/>
    <w:rsid w:val="00345900"/>
    <w:rsid w:val="003524AC"/>
    <w:rsid w:val="00373295"/>
    <w:rsid w:val="00392CC9"/>
    <w:rsid w:val="003B1B75"/>
    <w:rsid w:val="003C1745"/>
    <w:rsid w:val="003D181A"/>
    <w:rsid w:val="004003D2"/>
    <w:rsid w:val="0040357E"/>
    <w:rsid w:val="004414E4"/>
    <w:rsid w:val="004606EC"/>
    <w:rsid w:val="004657FF"/>
    <w:rsid w:val="00465CFD"/>
    <w:rsid w:val="004946E4"/>
    <w:rsid w:val="0049502A"/>
    <w:rsid w:val="004A27C4"/>
    <w:rsid w:val="004A4FDC"/>
    <w:rsid w:val="004A651C"/>
    <w:rsid w:val="004B1DC1"/>
    <w:rsid w:val="004C669F"/>
    <w:rsid w:val="004D5FF5"/>
    <w:rsid w:val="004E5AB2"/>
    <w:rsid w:val="004F4BC8"/>
    <w:rsid w:val="004F5A3C"/>
    <w:rsid w:val="005059CF"/>
    <w:rsid w:val="00512486"/>
    <w:rsid w:val="00513C41"/>
    <w:rsid w:val="00533205"/>
    <w:rsid w:val="00571710"/>
    <w:rsid w:val="00574EBC"/>
    <w:rsid w:val="005900D2"/>
    <w:rsid w:val="00595B30"/>
    <w:rsid w:val="005A081A"/>
    <w:rsid w:val="005A168A"/>
    <w:rsid w:val="005E77DB"/>
    <w:rsid w:val="005F5760"/>
    <w:rsid w:val="005F6A1A"/>
    <w:rsid w:val="00605F71"/>
    <w:rsid w:val="00647514"/>
    <w:rsid w:val="006562B0"/>
    <w:rsid w:val="00657D15"/>
    <w:rsid w:val="0068684E"/>
    <w:rsid w:val="00687773"/>
    <w:rsid w:val="006B0DDF"/>
    <w:rsid w:val="006B17AF"/>
    <w:rsid w:val="006D407B"/>
    <w:rsid w:val="006E04C4"/>
    <w:rsid w:val="007164D8"/>
    <w:rsid w:val="00721B1D"/>
    <w:rsid w:val="00726945"/>
    <w:rsid w:val="00727D79"/>
    <w:rsid w:val="00734A32"/>
    <w:rsid w:val="0073592F"/>
    <w:rsid w:val="0074565B"/>
    <w:rsid w:val="00745BB6"/>
    <w:rsid w:val="00752797"/>
    <w:rsid w:val="00752FB2"/>
    <w:rsid w:val="00777207"/>
    <w:rsid w:val="00792926"/>
    <w:rsid w:val="0079643F"/>
    <w:rsid w:val="007A34F8"/>
    <w:rsid w:val="007A4955"/>
    <w:rsid w:val="007A77D3"/>
    <w:rsid w:val="007B4A80"/>
    <w:rsid w:val="007F60D1"/>
    <w:rsid w:val="0080635F"/>
    <w:rsid w:val="008372CB"/>
    <w:rsid w:val="00847EAA"/>
    <w:rsid w:val="00855BE1"/>
    <w:rsid w:val="00857219"/>
    <w:rsid w:val="00861F98"/>
    <w:rsid w:val="008A7DC2"/>
    <w:rsid w:val="008B4A29"/>
    <w:rsid w:val="008C77D6"/>
    <w:rsid w:val="008F2383"/>
    <w:rsid w:val="00902E81"/>
    <w:rsid w:val="009247B4"/>
    <w:rsid w:val="00924C6C"/>
    <w:rsid w:val="00926122"/>
    <w:rsid w:val="0097271D"/>
    <w:rsid w:val="0097298A"/>
    <w:rsid w:val="00993BFD"/>
    <w:rsid w:val="009A2C9B"/>
    <w:rsid w:val="009F7B0C"/>
    <w:rsid w:val="00A02814"/>
    <w:rsid w:val="00A140F5"/>
    <w:rsid w:val="00A15378"/>
    <w:rsid w:val="00A34EDF"/>
    <w:rsid w:val="00A525BC"/>
    <w:rsid w:val="00A62172"/>
    <w:rsid w:val="00A82272"/>
    <w:rsid w:val="00A8495D"/>
    <w:rsid w:val="00A8605C"/>
    <w:rsid w:val="00AA6968"/>
    <w:rsid w:val="00AB45FD"/>
    <w:rsid w:val="00AD76B1"/>
    <w:rsid w:val="00B048BB"/>
    <w:rsid w:val="00B06130"/>
    <w:rsid w:val="00B06284"/>
    <w:rsid w:val="00B0639D"/>
    <w:rsid w:val="00B26946"/>
    <w:rsid w:val="00B3455A"/>
    <w:rsid w:val="00B41CF1"/>
    <w:rsid w:val="00B52ECC"/>
    <w:rsid w:val="00B67912"/>
    <w:rsid w:val="00B701A1"/>
    <w:rsid w:val="00B70A7E"/>
    <w:rsid w:val="00B839D8"/>
    <w:rsid w:val="00B90F4E"/>
    <w:rsid w:val="00BD27E1"/>
    <w:rsid w:val="00C128FB"/>
    <w:rsid w:val="00C33DAF"/>
    <w:rsid w:val="00C34ED3"/>
    <w:rsid w:val="00C53F97"/>
    <w:rsid w:val="00C94866"/>
    <w:rsid w:val="00CA1BF8"/>
    <w:rsid w:val="00CA5A1F"/>
    <w:rsid w:val="00CA783F"/>
    <w:rsid w:val="00CB7FDE"/>
    <w:rsid w:val="00CC5B79"/>
    <w:rsid w:val="00CD115B"/>
    <w:rsid w:val="00CD56B9"/>
    <w:rsid w:val="00CE767B"/>
    <w:rsid w:val="00D21813"/>
    <w:rsid w:val="00D2599B"/>
    <w:rsid w:val="00D37DCB"/>
    <w:rsid w:val="00D42AA0"/>
    <w:rsid w:val="00D55A21"/>
    <w:rsid w:val="00D569B7"/>
    <w:rsid w:val="00D63578"/>
    <w:rsid w:val="00D77DDD"/>
    <w:rsid w:val="00D927B6"/>
    <w:rsid w:val="00D9292F"/>
    <w:rsid w:val="00D96262"/>
    <w:rsid w:val="00DA1375"/>
    <w:rsid w:val="00DD75AB"/>
    <w:rsid w:val="00DE4BFC"/>
    <w:rsid w:val="00DF04E1"/>
    <w:rsid w:val="00E021ED"/>
    <w:rsid w:val="00E02647"/>
    <w:rsid w:val="00E109C4"/>
    <w:rsid w:val="00E266A7"/>
    <w:rsid w:val="00E27140"/>
    <w:rsid w:val="00E4154F"/>
    <w:rsid w:val="00E46F7E"/>
    <w:rsid w:val="00E47695"/>
    <w:rsid w:val="00E52A41"/>
    <w:rsid w:val="00E53D26"/>
    <w:rsid w:val="00E855B4"/>
    <w:rsid w:val="00EA3DCF"/>
    <w:rsid w:val="00EB2388"/>
    <w:rsid w:val="00EE43AA"/>
    <w:rsid w:val="00EF0D13"/>
    <w:rsid w:val="00EF29B7"/>
    <w:rsid w:val="00EF7260"/>
    <w:rsid w:val="00F07C84"/>
    <w:rsid w:val="00F13DE5"/>
    <w:rsid w:val="00F22583"/>
    <w:rsid w:val="00F42CE9"/>
    <w:rsid w:val="00F458D0"/>
    <w:rsid w:val="00F86A12"/>
    <w:rsid w:val="00F901EF"/>
    <w:rsid w:val="00F91F97"/>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45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63A40718-96A5-4F18-A1C3-8714C9CD3FB8}">
  <ds:schemaRefs>
    <ds:schemaRef ds:uri="http://purl.org/dc/elements/1.1/"/>
    <ds:schemaRef ds:uri="02ada104-823b-4448-a484-06bff61b75f9"/>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C116A-4670-4649-B313-F6B552F8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1286</Words>
  <Characters>7074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8</cp:revision>
  <cp:lastPrinted>2021-07-08T06:33:00Z</cp:lastPrinted>
  <dcterms:created xsi:type="dcterms:W3CDTF">2022-07-29T03:16:00Z</dcterms:created>
  <dcterms:modified xsi:type="dcterms:W3CDTF">2023-07-05T06:09:00Z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